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A3FC1" w14:textId="77777777" w:rsidR="00140240" w:rsidRDefault="00622C3C" w:rsidP="00CB5449">
      <w:pPr>
        <w:jc w:val="center"/>
        <w:rPr>
          <w:rFonts w:ascii="Aptos" w:hAnsi="Aptos" w:cs="Arial"/>
          <w:b/>
          <w:bCs/>
          <w:sz w:val="24"/>
          <w:szCs w:val="24"/>
        </w:rPr>
      </w:pPr>
      <w:proofErr w:type="spellStart"/>
      <w:r>
        <w:rPr>
          <w:rFonts w:ascii="Aptos" w:hAnsi="Aptos" w:cs="Arial"/>
          <w:b/>
          <w:bCs/>
          <w:sz w:val="24"/>
          <w:szCs w:val="24"/>
        </w:rPr>
        <w:t>Becklands</w:t>
      </w:r>
      <w:proofErr w:type="spellEnd"/>
      <w:r>
        <w:rPr>
          <w:rFonts w:ascii="Aptos" w:hAnsi="Aptos" w:cs="Arial"/>
          <w:b/>
          <w:bCs/>
          <w:sz w:val="24"/>
          <w:szCs w:val="24"/>
        </w:rPr>
        <w:t xml:space="preserve"> land based</w:t>
      </w:r>
      <w:r w:rsidR="00140240">
        <w:rPr>
          <w:rFonts w:ascii="Aptos" w:hAnsi="Aptos" w:cs="Arial"/>
          <w:b/>
          <w:bCs/>
          <w:sz w:val="24"/>
          <w:szCs w:val="24"/>
        </w:rPr>
        <w:t xml:space="preserve"> &amp; outdoor studies</w:t>
      </w:r>
    </w:p>
    <w:p w14:paraId="5FFE7B4F" w14:textId="0341D6CE" w:rsidR="00D47355" w:rsidRDefault="00D47355" w:rsidP="00CB5449">
      <w:pPr>
        <w:jc w:val="center"/>
        <w:rPr>
          <w:rFonts w:ascii="Aptos" w:hAnsi="Aptos" w:cs="Arial"/>
          <w:b/>
          <w:bCs/>
          <w:sz w:val="24"/>
          <w:szCs w:val="24"/>
        </w:rPr>
      </w:pPr>
      <w:r w:rsidRPr="00CB5449">
        <w:rPr>
          <w:rFonts w:ascii="Aptos" w:hAnsi="Aptos" w:cs="Arial"/>
          <w:b/>
          <w:bCs/>
          <w:sz w:val="24"/>
          <w:szCs w:val="24"/>
        </w:rPr>
        <w:t>Risk Assessment Policy</w:t>
      </w:r>
    </w:p>
    <w:tbl>
      <w:tblPr>
        <w:tblStyle w:val="TableGrid"/>
        <w:tblW w:w="0" w:type="auto"/>
        <w:tblLook w:val="04A0" w:firstRow="1" w:lastRow="0" w:firstColumn="1" w:lastColumn="0" w:noHBand="0" w:noVBand="1"/>
      </w:tblPr>
      <w:tblGrid>
        <w:gridCol w:w="5234"/>
        <w:gridCol w:w="5235"/>
      </w:tblGrid>
      <w:tr w:rsidR="00622C3C" w14:paraId="10D3BCAA" w14:textId="77777777" w:rsidTr="00622C3C">
        <w:tc>
          <w:tcPr>
            <w:tcW w:w="5234" w:type="dxa"/>
          </w:tcPr>
          <w:p w14:paraId="795C5009" w14:textId="77777777" w:rsidR="003601C2" w:rsidRPr="003601C2" w:rsidRDefault="003601C2" w:rsidP="003601C2">
            <w:pPr>
              <w:jc w:val="center"/>
              <w:rPr>
                <w:rFonts w:ascii="Aptos" w:hAnsi="Aptos" w:cs="Arial"/>
                <w:b/>
                <w:bCs/>
                <w:sz w:val="24"/>
                <w:szCs w:val="24"/>
              </w:rPr>
            </w:pPr>
            <w:r w:rsidRPr="003601C2">
              <w:rPr>
                <w:rFonts w:ascii="Aptos" w:hAnsi="Aptos" w:cs="Arial"/>
                <w:b/>
                <w:bCs/>
                <w:sz w:val="24"/>
                <w:szCs w:val="24"/>
              </w:rPr>
              <w:t>Date written/reviewed:</w:t>
            </w:r>
          </w:p>
          <w:p w14:paraId="3F9392AF" w14:textId="72E18D60" w:rsidR="00622C3C" w:rsidRDefault="00622C3C" w:rsidP="003601C2">
            <w:pPr>
              <w:jc w:val="center"/>
              <w:rPr>
                <w:rFonts w:ascii="Aptos" w:hAnsi="Aptos" w:cs="Arial"/>
                <w:b/>
                <w:bCs/>
                <w:sz w:val="24"/>
                <w:szCs w:val="24"/>
              </w:rPr>
            </w:pPr>
          </w:p>
        </w:tc>
        <w:tc>
          <w:tcPr>
            <w:tcW w:w="5235" w:type="dxa"/>
          </w:tcPr>
          <w:p w14:paraId="1B6F1DB7" w14:textId="687760A1" w:rsidR="00622C3C" w:rsidRDefault="003601C2" w:rsidP="00CB5449">
            <w:pPr>
              <w:jc w:val="center"/>
              <w:rPr>
                <w:rFonts w:ascii="Aptos" w:hAnsi="Aptos" w:cs="Arial"/>
                <w:b/>
                <w:bCs/>
                <w:sz w:val="24"/>
                <w:szCs w:val="24"/>
              </w:rPr>
            </w:pPr>
            <w:r>
              <w:rPr>
                <w:rFonts w:ascii="Aptos" w:hAnsi="Aptos" w:cs="Arial"/>
                <w:b/>
                <w:bCs/>
                <w:sz w:val="24"/>
                <w:szCs w:val="24"/>
              </w:rPr>
              <w:t>19 MAY 2024</w:t>
            </w:r>
          </w:p>
        </w:tc>
      </w:tr>
      <w:tr w:rsidR="00622C3C" w14:paraId="27A455B7" w14:textId="77777777" w:rsidTr="00622C3C">
        <w:tc>
          <w:tcPr>
            <w:tcW w:w="5234" w:type="dxa"/>
          </w:tcPr>
          <w:p w14:paraId="25F98EAA" w14:textId="74377DD3" w:rsidR="00622C3C" w:rsidRDefault="003601C2" w:rsidP="00CB5449">
            <w:pPr>
              <w:jc w:val="center"/>
              <w:rPr>
                <w:rFonts w:ascii="Aptos" w:hAnsi="Aptos" w:cs="Arial"/>
                <w:b/>
                <w:bCs/>
                <w:sz w:val="24"/>
                <w:szCs w:val="24"/>
              </w:rPr>
            </w:pPr>
            <w:r w:rsidRPr="003601C2">
              <w:rPr>
                <w:rFonts w:ascii="Aptos" w:hAnsi="Aptos" w:cs="Arial"/>
                <w:b/>
                <w:bCs/>
                <w:sz w:val="24"/>
                <w:szCs w:val="24"/>
              </w:rPr>
              <w:t>Written/reviewed by:</w:t>
            </w:r>
          </w:p>
        </w:tc>
        <w:tc>
          <w:tcPr>
            <w:tcW w:w="5235" w:type="dxa"/>
          </w:tcPr>
          <w:p w14:paraId="71E2DF7B" w14:textId="52CC77DB" w:rsidR="00622C3C" w:rsidRDefault="003601C2" w:rsidP="00CB5449">
            <w:pPr>
              <w:jc w:val="center"/>
              <w:rPr>
                <w:rFonts w:ascii="Aptos" w:hAnsi="Aptos" w:cs="Arial"/>
                <w:b/>
                <w:bCs/>
                <w:sz w:val="24"/>
                <w:szCs w:val="24"/>
              </w:rPr>
            </w:pPr>
            <w:r>
              <w:rPr>
                <w:rFonts w:ascii="Aptos" w:hAnsi="Aptos" w:cs="Arial"/>
                <w:b/>
                <w:bCs/>
                <w:sz w:val="24"/>
                <w:szCs w:val="24"/>
              </w:rPr>
              <w:t>DANIELLE KENINGTON</w:t>
            </w:r>
          </w:p>
        </w:tc>
      </w:tr>
      <w:tr w:rsidR="00622C3C" w14:paraId="2DA66AB0" w14:textId="77777777" w:rsidTr="00622C3C">
        <w:tc>
          <w:tcPr>
            <w:tcW w:w="5234" w:type="dxa"/>
          </w:tcPr>
          <w:p w14:paraId="667913D6" w14:textId="468EE0B6" w:rsidR="00622C3C" w:rsidRDefault="003601C2" w:rsidP="00CB5449">
            <w:pPr>
              <w:jc w:val="center"/>
              <w:rPr>
                <w:rFonts w:ascii="Aptos" w:hAnsi="Aptos" w:cs="Arial"/>
                <w:b/>
                <w:bCs/>
                <w:sz w:val="24"/>
                <w:szCs w:val="24"/>
              </w:rPr>
            </w:pPr>
            <w:r w:rsidRPr="003601C2">
              <w:rPr>
                <w:rFonts w:ascii="Aptos" w:hAnsi="Aptos" w:cs="Arial"/>
                <w:b/>
                <w:bCs/>
                <w:sz w:val="24"/>
                <w:szCs w:val="24"/>
              </w:rPr>
              <w:t>Approval:</w:t>
            </w:r>
          </w:p>
        </w:tc>
        <w:tc>
          <w:tcPr>
            <w:tcW w:w="5235" w:type="dxa"/>
          </w:tcPr>
          <w:p w14:paraId="4DFAE816" w14:textId="3134B316" w:rsidR="00622C3C" w:rsidRDefault="003601C2" w:rsidP="00CB5449">
            <w:pPr>
              <w:jc w:val="center"/>
              <w:rPr>
                <w:rFonts w:ascii="Aptos" w:hAnsi="Aptos" w:cs="Arial"/>
                <w:b/>
                <w:bCs/>
                <w:sz w:val="24"/>
                <w:szCs w:val="24"/>
              </w:rPr>
            </w:pPr>
            <w:r>
              <w:rPr>
                <w:rFonts w:ascii="Aptos" w:hAnsi="Aptos" w:cs="Arial"/>
                <w:b/>
                <w:bCs/>
                <w:sz w:val="24"/>
                <w:szCs w:val="24"/>
              </w:rPr>
              <w:t xml:space="preserve">Vicky </w:t>
            </w:r>
            <w:r w:rsidR="00D95461">
              <w:rPr>
                <w:rFonts w:ascii="Aptos" w:hAnsi="Aptos" w:cs="Arial"/>
                <w:b/>
                <w:bCs/>
                <w:sz w:val="24"/>
                <w:szCs w:val="24"/>
              </w:rPr>
              <w:t>Simpson</w:t>
            </w:r>
          </w:p>
        </w:tc>
      </w:tr>
      <w:tr w:rsidR="00622C3C" w14:paraId="3845A03F" w14:textId="77777777" w:rsidTr="00622C3C">
        <w:tc>
          <w:tcPr>
            <w:tcW w:w="5234" w:type="dxa"/>
          </w:tcPr>
          <w:p w14:paraId="64579B7B" w14:textId="4E876BD1" w:rsidR="00622C3C" w:rsidRDefault="003601C2" w:rsidP="00CB5449">
            <w:pPr>
              <w:jc w:val="center"/>
              <w:rPr>
                <w:rFonts w:ascii="Aptos" w:hAnsi="Aptos" w:cs="Arial"/>
                <w:b/>
                <w:bCs/>
                <w:sz w:val="24"/>
                <w:szCs w:val="24"/>
              </w:rPr>
            </w:pPr>
            <w:r w:rsidRPr="003601C2">
              <w:rPr>
                <w:rFonts w:ascii="Aptos" w:hAnsi="Aptos" w:cs="Arial"/>
                <w:b/>
                <w:bCs/>
                <w:sz w:val="24"/>
                <w:szCs w:val="24"/>
              </w:rPr>
              <w:t>Review due by:</w:t>
            </w:r>
          </w:p>
        </w:tc>
        <w:tc>
          <w:tcPr>
            <w:tcW w:w="5235" w:type="dxa"/>
          </w:tcPr>
          <w:p w14:paraId="0FF4AAB5" w14:textId="28EF0022" w:rsidR="00622C3C" w:rsidRDefault="00D95461" w:rsidP="00CB5449">
            <w:pPr>
              <w:jc w:val="center"/>
              <w:rPr>
                <w:rFonts w:ascii="Aptos" w:hAnsi="Aptos" w:cs="Arial"/>
                <w:b/>
                <w:bCs/>
                <w:sz w:val="24"/>
                <w:szCs w:val="24"/>
              </w:rPr>
            </w:pPr>
            <w:r>
              <w:rPr>
                <w:rFonts w:ascii="Aptos" w:hAnsi="Aptos" w:cs="Arial"/>
                <w:b/>
                <w:bCs/>
                <w:sz w:val="24"/>
                <w:szCs w:val="24"/>
              </w:rPr>
              <w:t>18th May 2026</w:t>
            </w:r>
          </w:p>
        </w:tc>
      </w:tr>
      <w:tr w:rsidR="00622C3C" w14:paraId="74924B8E" w14:textId="77777777" w:rsidTr="00622C3C">
        <w:tc>
          <w:tcPr>
            <w:tcW w:w="5234" w:type="dxa"/>
          </w:tcPr>
          <w:p w14:paraId="62215718" w14:textId="7E39AF2E" w:rsidR="00622C3C" w:rsidRDefault="003601C2" w:rsidP="00CB5449">
            <w:pPr>
              <w:jc w:val="center"/>
              <w:rPr>
                <w:rFonts w:ascii="Aptos" w:hAnsi="Aptos" w:cs="Arial"/>
                <w:b/>
                <w:bCs/>
                <w:sz w:val="24"/>
                <w:szCs w:val="24"/>
              </w:rPr>
            </w:pPr>
            <w:r w:rsidRPr="003601C2">
              <w:rPr>
                <w:rFonts w:ascii="Aptos" w:hAnsi="Aptos" w:cs="Arial"/>
                <w:b/>
                <w:bCs/>
                <w:sz w:val="24"/>
                <w:szCs w:val="24"/>
              </w:rPr>
              <w:t>Substantive changes since last review:</w:t>
            </w:r>
          </w:p>
        </w:tc>
        <w:tc>
          <w:tcPr>
            <w:tcW w:w="5235" w:type="dxa"/>
          </w:tcPr>
          <w:p w14:paraId="34171520" w14:textId="5478AFB3" w:rsidR="00622C3C" w:rsidRDefault="00D95461" w:rsidP="00CB5449">
            <w:pPr>
              <w:jc w:val="center"/>
              <w:rPr>
                <w:rFonts w:ascii="Aptos" w:hAnsi="Aptos" w:cs="Arial"/>
                <w:b/>
                <w:bCs/>
                <w:sz w:val="24"/>
                <w:szCs w:val="24"/>
              </w:rPr>
            </w:pPr>
            <w:r>
              <w:rPr>
                <w:rFonts w:ascii="Aptos" w:hAnsi="Aptos" w:cs="Arial"/>
                <w:b/>
                <w:bCs/>
                <w:sz w:val="24"/>
                <w:szCs w:val="24"/>
              </w:rPr>
              <w:t>N/A</w:t>
            </w:r>
          </w:p>
        </w:tc>
      </w:tr>
    </w:tbl>
    <w:p w14:paraId="5E7C6B95" w14:textId="77777777" w:rsidR="00622C3C" w:rsidRPr="00CB5449" w:rsidRDefault="00622C3C" w:rsidP="00CB5449">
      <w:pPr>
        <w:jc w:val="center"/>
        <w:rPr>
          <w:rFonts w:ascii="Aptos" w:hAnsi="Aptos" w:cs="Arial"/>
          <w:b/>
          <w:bCs/>
          <w:sz w:val="24"/>
          <w:szCs w:val="24"/>
        </w:rPr>
      </w:pPr>
    </w:p>
    <w:p w14:paraId="2B4FAD3F" w14:textId="5EA07F6D" w:rsidR="00D47355" w:rsidRPr="00CB5449" w:rsidRDefault="00622C3C" w:rsidP="00D47355">
      <w:pPr>
        <w:rPr>
          <w:rFonts w:ascii="Aptos" w:hAnsi="Aptos" w:cs="Arial"/>
          <w:sz w:val="24"/>
          <w:szCs w:val="24"/>
        </w:rPr>
      </w:pPr>
      <w:r>
        <w:rPr>
          <w:rFonts w:ascii="Aptos" w:hAnsi="Aptos" w:cs="Arial"/>
          <w:sz w:val="24"/>
          <w:szCs w:val="24"/>
        </w:rPr>
        <w:t>BLOS</w:t>
      </w:r>
      <w:r w:rsidR="00CB5449">
        <w:rPr>
          <w:rFonts w:ascii="Aptos" w:hAnsi="Aptos" w:cs="Arial"/>
          <w:sz w:val="24"/>
          <w:szCs w:val="24"/>
        </w:rPr>
        <w:t xml:space="preserve"> </w:t>
      </w:r>
      <w:r w:rsidR="00D47355" w:rsidRPr="00CB5449">
        <w:rPr>
          <w:rFonts w:ascii="Aptos" w:hAnsi="Aptos" w:cs="Arial"/>
          <w:sz w:val="24"/>
          <w:szCs w:val="24"/>
        </w:rPr>
        <w:t xml:space="preserve">has a responsibility to provide adequate control of the health and safety </w:t>
      </w:r>
      <w:r w:rsidR="006E3204" w:rsidRPr="00CB5449">
        <w:rPr>
          <w:rFonts w:ascii="Aptos" w:hAnsi="Aptos" w:cs="Arial"/>
          <w:sz w:val="24"/>
          <w:szCs w:val="24"/>
        </w:rPr>
        <w:t xml:space="preserve">risks associating from our work, </w:t>
      </w:r>
      <w:r w:rsidR="00D47355" w:rsidRPr="00CB5449">
        <w:rPr>
          <w:rFonts w:ascii="Aptos" w:hAnsi="Aptos" w:cs="Arial"/>
          <w:sz w:val="24"/>
          <w:szCs w:val="24"/>
        </w:rPr>
        <w:t>activities</w:t>
      </w:r>
      <w:r w:rsidR="006E3204" w:rsidRPr="00CB5449">
        <w:rPr>
          <w:rFonts w:ascii="Aptos" w:hAnsi="Aptos" w:cs="Arial"/>
          <w:sz w:val="24"/>
          <w:szCs w:val="24"/>
        </w:rPr>
        <w:t xml:space="preserve"> and the young people we work with</w:t>
      </w:r>
      <w:r w:rsidR="00D47355" w:rsidRPr="00CB5449">
        <w:rPr>
          <w:rFonts w:ascii="Aptos" w:hAnsi="Aptos" w:cs="Arial"/>
          <w:sz w:val="24"/>
          <w:szCs w:val="24"/>
        </w:rPr>
        <w:t>.</w:t>
      </w:r>
    </w:p>
    <w:p w14:paraId="2AD40A83" w14:textId="77777777" w:rsidR="001F34CB" w:rsidRPr="00CB5449" w:rsidRDefault="001F34CB" w:rsidP="00D47355">
      <w:pPr>
        <w:jc w:val="both"/>
        <w:rPr>
          <w:rFonts w:ascii="Aptos" w:hAnsi="Aptos" w:cs="Arial"/>
          <w:b/>
          <w:sz w:val="24"/>
          <w:szCs w:val="24"/>
        </w:rPr>
      </w:pPr>
      <w:r w:rsidRPr="00CB5449">
        <w:rPr>
          <w:rFonts w:ascii="Aptos" w:hAnsi="Aptos" w:cs="Arial"/>
          <w:b/>
          <w:sz w:val="24"/>
          <w:szCs w:val="24"/>
        </w:rPr>
        <w:t>Responsibilities</w:t>
      </w:r>
    </w:p>
    <w:p w14:paraId="65B15F50" w14:textId="3BC087C2" w:rsidR="001F34CB" w:rsidRPr="00CB5449" w:rsidRDefault="00140240" w:rsidP="00D47355">
      <w:pPr>
        <w:jc w:val="both"/>
        <w:rPr>
          <w:rFonts w:ascii="Aptos" w:hAnsi="Aptos" w:cs="Arial"/>
          <w:sz w:val="24"/>
          <w:szCs w:val="24"/>
        </w:rPr>
      </w:pPr>
      <w:r>
        <w:rPr>
          <w:rFonts w:ascii="Aptos" w:hAnsi="Aptos" w:cs="Arial"/>
          <w:sz w:val="24"/>
          <w:szCs w:val="24"/>
        </w:rPr>
        <w:t>BLOS</w:t>
      </w:r>
      <w:r w:rsidR="00CB5449">
        <w:rPr>
          <w:rFonts w:ascii="Aptos" w:hAnsi="Aptos" w:cs="Arial"/>
          <w:sz w:val="24"/>
          <w:szCs w:val="24"/>
        </w:rPr>
        <w:t xml:space="preserve"> </w:t>
      </w:r>
      <w:r w:rsidR="03A4886D" w:rsidRPr="00CB5449">
        <w:rPr>
          <w:rFonts w:ascii="Aptos" w:hAnsi="Aptos" w:cs="Arial"/>
          <w:sz w:val="24"/>
          <w:szCs w:val="24"/>
        </w:rPr>
        <w:t>has appointed a Health and Safety Co</w:t>
      </w:r>
      <w:r w:rsidR="00CB5449">
        <w:rPr>
          <w:rFonts w:ascii="Aptos" w:hAnsi="Aptos" w:cs="Arial"/>
          <w:sz w:val="24"/>
          <w:szCs w:val="24"/>
        </w:rPr>
        <w:t>-ordinator</w:t>
      </w:r>
      <w:r w:rsidR="001F34CB" w:rsidRPr="00CB5449">
        <w:rPr>
          <w:rFonts w:ascii="Aptos" w:hAnsi="Aptos" w:cs="Arial"/>
          <w:sz w:val="24"/>
          <w:szCs w:val="24"/>
        </w:rPr>
        <w:t xml:space="preserve"> </w:t>
      </w:r>
      <w:r w:rsidR="72C7D61F" w:rsidRPr="00CB5449">
        <w:rPr>
          <w:rFonts w:ascii="Aptos" w:hAnsi="Aptos" w:cs="Arial"/>
          <w:sz w:val="24"/>
          <w:szCs w:val="24"/>
        </w:rPr>
        <w:t xml:space="preserve">who </w:t>
      </w:r>
      <w:r w:rsidR="001F34CB" w:rsidRPr="00CB5449">
        <w:rPr>
          <w:rFonts w:ascii="Aptos" w:hAnsi="Aptos" w:cs="Arial"/>
          <w:sz w:val="24"/>
          <w:szCs w:val="24"/>
        </w:rPr>
        <w:t>ensur</w:t>
      </w:r>
      <w:r w:rsidR="61DBA898" w:rsidRPr="00CB5449">
        <w:rPr>
          <w:rFonts w:ascii="Aptos" w:hAnsi="Aptos" w:cs="Arial"/>
          <w:sz w:val="24"/>
          <w:szCs w:val="24"/>
        </w:rPr>
        <w:t>es</w:t>
      </w:r>
      <w:r w:rsidR="001F34CB" w:rsidRPr="00CB5449">
        <w:rPr>
          <w:rFonts w:ascii="Aptos" w:hAnsi="Aptos" w:cs="Arial"/>
          <w:sz w:val="24"/>
          <w:szCs w:val="24"/>
        </w:rPr>
        <w:t xml:space="preserve"> that all necessary risk assessments required by legislation are carried out.</w:t>
      </w:r>
    </w:p>
    <w:p w14:paraId="74927FAA" w14:textId="7A73B9D8" w:rsidR="001F34CB" w:rsidRPr="00CB5449" w:rsidRDefault="001F34CB" w:rsidP="00D47355">
      <w:pPr>
        <w:jc w:val="both"/>
        <w:rPr>
          <w:rFonts w:ascii="Aptos" w:hAnsi="Aptos" w:cs="Arial"/>
          <w:sz w:val="24"/>
          <w:szCs w:val="24"/>
        </w:rPr>
      </w:pPr>
      <w:r w:rsidRPr="00CB5449">
        <w:rPr>
          <w:rFonts w:ascii="Aptos" w:hAnsi="Aptos" w:cs="Arial"/>
          <w:sz w:val="24"/>
          <w:szCs w:val="24"/>
        </w:rPr>
        <w:t xml:space="preserve">Health and Safety Co-ordinators, </w:t>
      </w:r>
      <w:r w:rsidR="25F33441" w:rsidRPr="00CB5449">
        <w:rPr>
          <w:rFonts w:ascii="Aptos" w:hAnsi="Aptos" w:cs="Arial"/>
          <w:sz w:val="24"/>
          <w:szCs w:val="24"/>
        </w:rPr>
        <w:t xml:space="preserve">with the support of </w:t>
      </w:r>
      <w:r w:rsidRPr="00CB5449">
        <w:rPr>
          <w:rFonts w:ascii="Aptos" w:hAnsi="Aptos" w:cs="Arial"/>
          <w:sz w:val="24"/>
          <w:szCs w:val="24"/>
        </w:rPr>
        <w:t>the Head</w:t>
      </w:r>
      <w:r w:rsidR="00424853" w:rsidRPr="00CB5449">
        <w:rPr>
          <w:rFonts w:ascii="Aptos" w:hAnsi="Aptos" w:cs="Arial"/>
          <w:sz w:val="24"/>
          <w:szCs w:val="24"/>
        </w:rPr>
        <w:t>teacher</w:t>
      </w:r>
      <w:r w:rsidRPr="00CB5449">
        <w:rPr>
          <w:rFonts w:ascii="Aptos" w:hAnsi="Aptos" w:cs="Arial"/>
          <w:sz w:val="24"/>
          <w:szCs w:val="24"/>
        </w:rPr>
        <w:t>, are responsible for ensuring risk assessments are in place for all activities/situations occurring locally.</w:t>
      </w:r>
      <w:r w:rsidR="006E3204" w:rsidRPr="00CB5449">
        <w:rPr>
          <w:rFonts w:ascii="Aptos" w:hAnsi="Aptos" w:cs="Arial"/>
          <w:sz w:val="24"/>
          <w:szCs w:val="24"/>
        </w:rPr>
        <w:t xml:space="preserve">  </w:t>
      </w:r>
      <w:r w:rsidR="00424853" w:rsidRPr="00CB5449">
        <w:rPr>
          <w:rFonts w:ascii="Aptos" w:hAnsi="Aptos" w:cs="Arial"/>
          <w:sz w:val="24"/>
          <w:szCs w:val="24"/>
        </w:rPr>
        <w:t xml:space="preserve">The </w:t>
      </w:r>
      <w:r w:rsidR="006E3204" w:rsidRPr="00CB5449">
        <w:rPr>
          <w:rFonts w:ascii="Aptos" w:hAnsi="Aptos" w:cs="Arial"/>
          <w:sz w:val="24"/>
          <w:szCs w:val="24"/>
        </w:rPr>
        <w:t>are responsible for assessing the risk posed by each individual young person during their referral process, and for creating individual risk assessments.</w:t>
      </w:r>
    </w:p>
    <w:p w14:paraId="0A37501D" w14:textId="77777777" w:rsidR="001F34CB" w:rsidRPr="00CB5449" w:rsidRDefault="001F34CB" w:rsidP="00D47355">
      <w:pPr>
        <w:jc w:val="both"/>
        <w:rPr>
          <w:rFonts w:ascii="Aptos" w:hAnsi="Aptos" w:cs="Arial"/>
          <w:sz w:val="24"/>
          <w:szCs w:val="24"/>
        </w:rPr>
      </w:pPr>
    </w:p>
    <w:p w14:paraId="2455DE45" w14:textId="77777777" w:rsidR="00D47355" w:rsidRPr="00CB5449" w:rsidRDefault="00D47355" w:rsidP="00D47355">
      <w:pPr>
        <w:jc w:val="both"/>
        <w:rPr>
          <w:rFonts w:ascii="Aptos" w:hAnsi="Aptos" w:cs="Arial"/>
          <w:b/>
          <w:sz w:val="24"/>
          <w:szCs w:val="24"/>
        </w:rPr>
      </w:pPr>
      <w:r w:rsidRPr="00CB5449">
        <w:rPr>
          <w:rFonts w:ascii="Aptos" w:hAnsi="Aptos" w:cs="Arial"/>
          <w:b/>
          <w:sz w:val="24"/>
          <w:szCs w:val="24"/>
        </w:rPr>
        <w:t>Risk assessments</w:t>
      </w:r>
      <w:r w:rsidR="006E3204" w:rsidRPr="00CB5449">
        <w:rPr>
          <w:rFonts w:ascii="Aptos" w:hAnsi="Aptos" w:cs="Arial"/>
          <w:b/>
          <w:sz w:val="24"/>
          <w:szCs w:val="24"/>
        </w:rPr>
        <w:t xml:space="preserve"> for activities</w:t>
      </w:r>
    </w:p>
    <w:p w14:paraId="7433AE0C" w14:textId="77777777" w:rsidR="00674ED8" w:rsidRPr="00CB5449" w:rsidRDefault="00D47355" w:rsidP="00D47355">
      <w:pPr>
        <w:jc w:val="both"/>
        <w:rPr>
          <w:rFonts w:ascii="Aptos" w:hAnsi="Aptos" w:cs="Arial"/>
          <w:sz w:val="24"/>
          <w:szCs w:val="24"/>
        </w:rPr>
      </w:pPr>
      <w:r w:rsidRPr="00CB5449">
        <w:rPr>
          <w:rFonts w:ascii="Aptos" w:hAnsi="Aptos" w:cs="Arial"/>
          <w:sz w:val="24"/>
          <w:szCs w:val="24"/>
        </w:rPr>
        <w:t>Risk assessments will be carried out for all a</w:t>
      </w:r>
      <w:r w:rsidR="00893297" w:rsidRPr="00CB5449">
        <w:rPr>
          <w:rFonts w:ascii="Aptos" w:hAnsi="Aptos" w:cs="Arial"/>
          <w:sz w:val="24"/>
          <w:szCs w:val="24"/>
        </w:rPr>
        <w:t xml:space="preserve">ctivities that are undertaken. </w:t>
      </w:r>
      <w:r w:rsidRPr="00CB5449">
        <w:rPr>
          <w:rFonts w:ascii="Aptos" w:hAnsi="Aptos" w:cs="Arial"/>
          <w:sz w:val="24"/>
          <w:szCs w:val="24"/>
        </w:rPr>
        <w:t xml:space="preserve">Any resulting actions will be implemented and staff informed and where necessary receive appropriate training.  </w:t>
      </w:r>
    </w:p>
    <w:p w14:paraId="5885A183" w14:textId="1A6FD03C" w:rsidR="00674ED8" w:rsidRPr="00CB5449" w:rsidRDefault="00674ED8" w:rsidP="00674ED8">
      <w:pPr>
        <w:jc w:val="both"/>
        <w:rPr>
          <w:rFonts w:ascii="Aptos" w:hAnsi="Aptos" w:cs="Arial"/>
          <w:sz w:val="24"/>
          <w:szCs w:val="24"/>
        </w:rPr>
      </w:pPr>
      <w:r w:rsidRPr="00CB5449">
        <w:rPr>
          <w:rFonts w:ascii="Aptos" w:hAnsi="Aptos" w:cs="Arial"/>
          <w:sz w:val="24"/>
          <w:szCs w:val="24"/>
        </w:rPr>
        <w:t>For any new activities to be undertaken, a risk assessment will be carried out, actions implemented and the risk ass</w:t>
      </w:r>
      <w:r w:rsidR="003A1F7F" w:rsidRPr="00CB5449">
        <w:rPr>
          <w:rFonts w:ascii="Aptos" w:hAnsi="Aptos" w:cs="Arial"/>
          <w:sz w:val="24"/>
          <w:szCs w:val="24"/>
        </w:rPr>
        <w:t xml:space="preserve">essment approved by </w:t>
      </w:r>
      <w:r w:rsidR="741D87B6" w:rsidRPr="00CB5449">
        <w:rPr>
          <w:rFonts w:ascii="Aptos" w:hAnsi="Aptos" w:cs="Arial"/>
          <w:sz w:val="24"/>
          <w:szCs w:val="24"/>
        </w:rPr>
        <w:t xml:space="preserve">either </w:t>
      </w:r>
      <w:r w:rsidR="003A1F7F" w:rsidRPr="00CB5449">
        <w:rPr>
          <w:rFonts w:ascii="Aptos" w:hAnsi="Aptos" w:cs="Arial"/>
          <w:sz w:val="24"/>
          <w:szCs w:val="24"/>
        </w:rPr>
        <w:t>the Head</w:t>
      </w:r>
      <w:r w:rsidR="00424853" w:rsidRPr="00CB5449">
        <w:rPr>
          <w:rFonts w:ascii="Aptos" w:hAnsi="Aptos" w:cs="Arial"/>
          <w:sz w:val="24"/>
          <w:szCs w:val="24"/>
        </w:rPr>
        <w:t xml:space="preserve">teacher </w:t>
      </w:r>
      <w:r w:rsidR="6215093E" w:rsidRPr="00CB5449">
        <w:rPr>
          <w:rFonts w:ascii="Aptos" w:hAnsi="Aptos" w:cs="Arial"/>
          <w:sz w:val="24"/>
          <w:szCs w:val="24"/>
        </w:rPr>
        <w:t>or Health and Safety Co</w:t>
      </w:r>
      <w:r w:rsidR="00CB5449">
        <w:rPr>
          <w:rFonts w:ascii="Aptos" w:hAnsi="Aptos" w:cs="Arial"/>
          <w:sz w:val="24"/>
          <w:szCs w:val="24"/>
        </w:rPr>
        <w:t>-ordinator</w:t>
      </w:r>
      <w:r w:rsidRPr="00CB5449">
        <w:rPr>
          <w:rFonts w:ascii="Aptos" w:hAnsi="Aptos" w:cs="Arial"/>
          <w:sz w:val="24"/>
          <w:szCs w:val="24"/>
        </w:rPr>
        <w:t xml:space="preserve"> (whichever is appropriate) before the activity is carried out.</w:t>
      </w:r>
    </w:p>
    <w:p w14:paraId="5DAB6C7B" w14:textId="77777777" w:rsidR="00893297" w:rsidRPr="00CB5449" w:rsidRDefault="00893297" w:rsidP="00D47355">
      <w:pPr>
        <w:jc w:val="both"/>
        <w:rPr>
          <w:rFonts w:ascii="Aptos" w:hAnsi="Aptos" w:cs="Arial"/>
          <w:b/>
          <w:sz w:val="24"/>
          <w:szCs w:val="24"/>
        </w:rPr>
      </w:pPr>
    </w:p>
    <w:p w14:paraId="36AC44A8" w14:textId="77777777" w:rsidR="00674ED8" w:rsidRPr="00CB5449" w:rsidRDefault="00674ED8" w:rsidP="00D47355">
      <w:pPr>
        <w:jc w:val="both"/>
        <w:rPr>
          <w:rFonts w:ascii="Aptos" w:hAnsi="Aptos" w:cs="Arial"/>
          <w:b/>
          <w:sz w:val="24"/>
          <w:szCs w:val="24"/>
        </w:rPr>
      </w:pPr>
      <w:r w:rsidRPr="00CB5449">
        <w:rPr>
          <w:rFonts w:ascii="Aptos" w:hAnsi="Aptos" w:cs="Arial"/>
          <w:b/>
          <w:sz w:val="24"/>
          <w:szCs w:val="24"/>
        </w:rPr>
        <w:t xml:space="preserve">Risk assessments for </w:t>
      </w:r>
      <w:r w:rsidR="003A1F7F" w:rsidRPr="00CB5449">
        <w:rPr>
          <w:rFonts w:ascii="Aptos" w:hAnsi="Aptos" w:cs="Arial"/>
          <w:b/>
          <w:sz w:val="24"/>
          <w:szCs w:val="24"/>
        </w:rPr>
        <w:t xml:space="preserve">events and </w:t>
      </w:r>
      <w:r w:rsidRPr="00CB5449">
        <w:rPr>
          <w:rFonts w:ascii="Aptos" w:hAnsi="Aptos" w:cs="Arial"/>
          <w:b/>
          <w:sz w:val="24"/>
          <w:szCs w:val="24"/>
        </w:rPr>
        <w:t>off-site visits</w:t>
      </w:r>
    </w:p>
    <w:p w14:paraId="5127CDBC" w14:textId="2984ADF0" w:rsidR="00674ED8" w:rsidRPr="00CB5449" w:rsidRDefault="003A1F7F" w:rsidP="00D47355">
      <w:pPr>
        <w:jc w:val="both"/>
        <w:rPr>
          <w:rFonts w:ascii="Aptos" w:hAnsi="Aptos" w:cs="Arial"/>
          <w:sz w:val="24"/>
          <w:szCs w:val="24"/>
        </w:rPr>
      </w:pPr>
      <w:r w:rsidRPr="00CB5449">
        <w:rPr>
          <w:rFonts w:ascii="Aptos" w:hAnsi="Aptos" w:cs="Arial"/>
          <w:sz w:val="24"/>
          <w:szCs w:val="24"/>
        </w:rPr>
        <w:t>Trips, v</w:t>
      </w:r>
      <w:r w:rsidR="00253A71" w:rsidRPr="00CB5449">
        <w:rPr>
          <w:rFonts w:ascii="Aptos" w:hAnsi="Aptos" w:cs="Arial"/>
          <w:sz w:val="24"/>
          <w:szCs w:val="24"/>
        </w:rPr>
        <w:t xml:space="preserve">isits and </w:t>
      </w:r>
      <w:r w:rsidRPr="00CB5449">
        <w:rPr>
          <w:rFonts w:ascii="Aptos" w:hAnsi="Aptos" w:cs="Arial"/>
          <w:sz w:val="24"/>
          <w:szCs w:val="24"/>
        </w:rPr>
        <w:t>e</w:t>
      </w:r>
      <w:r w:rsidR="00253A71" w:rsidRPr="00CB5449">
        <w:rPr>
          <w:rFonts w:ascii="Aptos" w:hAnsi="Aptos" w:cs="Arial"/>
          <w:sz w:val="24"/>
          <w:szCs w:val="24"/>
        </w:rPr>
        <w:t xml:space="preserve">vents involving students and employees hold potential health and safety hazards.  All such activities must have a properly completed risk assessment before the activity can then be approved by the </w:t>
      </w:r>
      <w:r w:rsidR="0FA29348" w:rsidRPr="00CB5449">
        <w:rPr>
          <w:rFonts w:ascii="Aptos" w:hAnsi="Aptos" w:cs="Arial"/>
          <w:sz w:val="24"/>
          <w:szCs w:val="24"/>
        </w:rPr>
        <w:t>Head</w:t>
      </w:r>
      <w:r w:rsidR="00424853" w:rsidRPr="00CB5449">
        <w:rPr>
          <w:rFonts w:ascii="Aptos" w:hAnsi="Aptos" w:cs="Arial"/>
          <w:sz w:val="24"/>
          <w:szCs w:val="24"/>
        </w:rPr>
        <w:t>teacher</w:t>
      </w:r>
      <w:r w:rsidR="00253A71" w:rsidRPr="00CB5449">
        <w:rPr>
          <w:rFonts w:ascii="Aptos" w:hAnsi="Aptos" w:cs="Arial"/>
          <w:sz w:val="24"/>
          <w:szCs w:val="24"/>
        </w:rPr>
        <w:t xml:space="preserve">.  Risk assessments prepared by venues being visited, or by third party organisations providing activities, can and should be used where appropriate.  Staff should consider whether these need to be adapted to suit the students concerned.  In addition, a risk assessment covering travel arrangements must be made.  </w:t>
      </w:r>
    </w:p>
    <w:p w14:paraId="02EB378F" w14:textId="77777777" w:rsidR="00253A71" w:rsidRPr="00CB5449" w:rsidRDefault="00253A71" w:rsidP="00D47355">
      <w:pPr>
        <w:jc w:val="both"/>
        <w:rPr>
          <w:rFonts w:ascii="Aptos" w:hAnsi="Aptos" w:cs="Arial"/>
          <w:sz w:val="24"/>
          <w:szCs w:val="24"/>
        </w:rPr>
      </w:pPr>
    </w:p>
    <w:p w14:paraId="1A9467BE" w14:textId="77777777" w:rsidR="006E3204" w:rsidRPr="00CB5449" w:rsidRDefault="006E3204">
      <w:pPr>
        <w:rPr>
          <w:rFonts w:ascii="Aptos" w:hAnsi="Aptos" w:cs="Arial"/>
          <w:b/>
          <w:sz w:val="24"/>
          <w:szCs w:val="24"/>
        </w:rPr>
      </w:pPr>
      <w:r w:rsidRPr="00CB5449">
        <w:rPr>
          <w:rFonts w:ascii="Aptos" w:hAnsi="Aptos" w:cs="Arial"/>
          <w:b/>
          <w:sz w:val="24"/>
          <w:szCs w:val="24"/>
        </w:rPr>
        <w:t>Risk assessments for individual students</w:t>
      </w:r>
    </w:p>
    <w:p w14:paraId="204B823C" w14:textId="5259F59B" w:rsidR="0071666C" w:rsidRPr="00CB5449" w:rsidRDefault="006E3204">
      <w:pPr>
        <w:rPr>
          <w:rFonts w:ascii="Aptos" w:hAnsi="Aptos" w:cs="Arial"/>
          <w:sz w:val="24"/>
          <w:szCs w:val="24"/>
        </w:rPr>
      </w:pPr>
      <w:r w:rsidRPr="00CB5449">
        <w:rPr>
          <w:rFonts w:ascii="Aptos" w:hAnsi="Aptos" w:cs="Arial"/>
          <w:sz w:val="24"/>
          <w:szCs w:val="24"/>
        </w:rPr>
        <w:t>An individual risk assessment will be created for each pupil when they start a placement at</w:t>
      </w:r>
      <w:r w:rsidR="00CB5449">
        <w:rPr>
          <w:rFonts w:ascii="Aptos" w:hAnsi="Aptos" w:cs="Arial"/>
          <w:sz w:val="24"/>
          <w:szCs w:val="24"/>
        </w:rPr>
        <w:t xml:space="preserve"> </w:t>
      </w:r>
      <w:proofErr w:type="gramStart"/>
      <w:r w:rsidR="0025683D">
        <w:rPr>
          <w:rFonts w:ascii="Aptos" w:hAnsi="Aptos" w:cs="Arial"/>
          <w:sz w:val="24"/>
          <w:szCs w:val="24"/>
        </w:rPr>
        <w:t>BLOS</w:t>
      </w:r>
      <w:r w:rsidR="00CB5449">
        <w:rPr>
          <w:rFonts w:ascii="Aptos" w:hAnsi="Aptos" w:cs="Arial"/>
          <w:sz w:val="24"/>
          <w:szCs w:val="24"/>
        </w:rPr>
        <w:t xml:space="preserve"> </w:t>
      </w:r>
      <w:r w:rsidRPr="00CB5449">
        <w:rPr>
          <w:rFonts w:ascii="Aptos" w:hAnsi="Aptos" w:cs="Arial"/>
          <w:sz w:val="24"/>
          <w:szCs w:val="24"/>
        </w:rPr>
        <w:t>.</w:t>
      </w:r>
      <w:proofErr w:type="gramEnd"/>
      <w:r w:rsidRPr="00CB5449">
        <w:rPr>
          <w:rFonts w:ascii="Aptos" w:hAnsi="Aptos" w:cs="Arial"/>
          <w:sz w:val="24"/>
          <w:szCs w:val="24"/>
        </w:rPr>
        <w:t xml:space="preserve">  The referral form asks a set of questions that will help staff identify where specific risks may be present and these can be discussed further with the referrer and/or pupil and/or parent/carer during the referral interview.</w:t>
      </w:r>
      <w:r w:rsidR="00E67997" w:rsidRPr="00CB5449">
        <w:rPr>
          <w:rFonts w:ascii="Aptos" w:hAnsi="Aptos" w:cs="Arial"/>
          <w:sz w:val="24"/>
          <w:szCs w:val="24"/>
        </w:rPr>
        <w:t xml:space="preserve">  The individual risk assessment should be reviewed and if necessary, updated, following any incidents of unacceptable behaviour or if concerns come to light.</w:t>
      </w:r>
    </w:p>
    <w:p w14:paraId="6A05A809" w14:textId="77777777" w:rsidR="00E67997" w:rsidRPr="00CB5449" w:rsidRDefault="00E67997">
      <w:pPr>
        <w:rPr>
          <w:rFonts w:ascii="Aptos" w:hAnsi="Aptos" w:cs="Arial"/>
          <w:b/>
          <w:sz w:val="24"/>
          <w:szCs w:val="24"/>
        </w:rPr>
      </w:pPr>
    </w:p>
    <w:p w14:paraId="56F48B69" w14:textId="77777777" w:rsidR="00424853" w:rsidRPr="00CB5449" w:rsidRDefault="00424853" w:rsidP="00D47355">
      <w:pPr>
        <w:jc w:val="both"/>
        <w:rPr>
          <w:rFonts w:ascii="Aptos" w:hAnsi="Aptos" w:cs="Arial"/>
          <w:b/>
          <w:sz w:val="24"/>
          <w:szCs w:val="24"/>
        </w:rPr>
      </w:pPr>
    </w:p>
    <w:p w14:paraId="7E318FA0" w14:textId="62119100" w:rsidR="00674ED8" w:rsidRPr="00CB5449" w:rsidRDefault="00674ED8" w:rsidP="00D47355">
      <w:pPr>
        <w:jc w:val="both"/>
        <w:rPr>
          <w:rFonts w:ascii="Aptos" w:hAnsi="Aptos" w:cs="Arial"/>
          <w:b/>
          <w:sz w:val="24"/>
          <w:szCs w:val="24"/>
        </w:rPr>
      </w:pPr>
      <w:r w:rsidRPr="00CB5449">
        <w:rPr>
          <w:rFonts w:ascii="Aptos" w:hAnsi="Aptos" w:cs="Arial"/>
          <w:b/>
          <w:sz w:val="24"/>
          <w:szCs w:val="24"/>
        </w:rPr>
        <w:t>Specific risk assessments</w:t>
      </w:r>
    </w:p>
    <w:p w14:paraId="65B77918" w14:textId="77777777" w:rsidR="00674ED8" w:rsidRPr="00CB5449" w:rsidRDefault="00674ED8" w:rsidP="00D47355">
      <w:pPr>
        <w:jc w:val="both"/>
        <w:rPr>
          <w:rFonts w:ascii="Aptos" w:hAnsi="Aptos" w:cs="Arial"/>
          <w:sz w:val="24"/>
          <w:szCs w:val="24"/>
        </w:rPr>
      </w:pPr>
      <w:r w:rsidRPr="00CB5449">
        <w:rPr>
          <w:rFonts w:ascii="Aptos" w:hAnsi="Aptos" w:cs="Arial"/>
          <w:sz w:val="24"/>
          <w:szCs w:val="24"/>
        </w:rPr>
        <w:t>Specific risk assessments will be carried out for:</w:t>
      </w:r>
    </w:p>
    <w:p w14:paraId="7063F9B6" w14:textId="77777777" w:rsidR="00674ED8" w:rsidRPr="00CB5449" w:rsidRDefault="00674ED8" w:rsidP="00674ED8">
      <w:pPr>
        <w:pStyle w:val="ListParagraph"/>
        <w:numPr>
          <w:ilvl w:val="0"/>
          <w:numId w:val="1"/>
        </w:numPr>
        <w:jc w:val="both"/>
        <w:rPr>
          <w:rFonts w:ascii="Aptos" w:hAnsi="Aptos" w:cs="Arial"/>
          <w:sz w:val="24"/>
          <w:szCs w:val="24"/>
        </w:rPr>
      </w:pPr>
      <w:r w:rsidRPr="00CB5449">
        <w:rPr>
          <w:rFonts w:ascii="Aptos" w:hAnsi="Aptos" w:cs="Arial"/>
          <w:sz w:val="24"/>
          <w:szCs w:val="24"/>
        </w:rPr>
        <w:t>Fire risk</w:t>
      </w:r>
    </w:p>
    <w:p w14:paraId="6C91652B" w14:textId="77777777" w:rsidR="00674ED8" w:rsidRPr="00CB5449" w:rsidRDefault="00674ED8" w:rsidP="00674ED8">
      <w:pPr>
        <w:pStyle w:val="ListParagraph"/>
        <w:numPr>
          <w:ilvl w:val="0"/>
          <w:numId w:val="1"/>
        </w:numPr>
        <w:jc w:val="both"/>
        <w:rPr>
          <w:rFonts w:ascii="Aptos" w:hAnsi="Aptos" w:cs="Arial"/>
          <w:sz w:val="24"/>
          <w:szCs w:val="24"/>
        </w:rPr>
      </w:pPr>
      <w:r w:rsidRPr="00CB5449">
        <w:rPr>
          <w:rFonts w:ascii="Aptos" w:hAnsi="Aptos" w:cs="Arial"/>
          <w:sz w:val="24"/>
          <w:szCs w:val="24"/>
        </w:rPr>
        <w:t>All work involving exposure to hazardous substances</w:t>
      </w:r>
    </w:p>
    <w:p w14:paraId="038C4E0B" w14:textId="77777777" w:rsidR="00674ED8" w:rsidRPr="00CB5449" w:rsidRDefault="00674ED8" w:rsidP="00674ED8">
      <w:pPr>
        <w:pStyle w:val="ListParagraph"/>
        <w:numPr>
          <w:ilvl w:val="0"/>
          <w:numId w:val="1"/>
        </w:numPr>
        <w:jc w:val="both"/>
        <w:rPr>
          <w:rFonts w:ascii="Aptos" w:hAnsi="Aptos" w:cs="Arial"/>
          <w:sz w:val="24"/>
          <w:szCs w:val="24"/>
        </w:rPr>
      </w:pPr>
      <w:r w:rsidRPr="00CB5449">
        <w:rPr>
          <w:rFonts w:ascii="Aptos" w:hAnsi="Aptos" w:cs="Arial"/>
          <w:sz w:val="24"/>
          <w:szCs w:val="24"/>
        </w:rPr>
        <w:t>Employees using VDU screens as a significant part of their job</w:t>
      </w:r>
    </w:p>
    <w:p w14:paraId="5A39BBE3" w14:textId="4C77134D" w:rsidR="003A1F7F" w:rsidRPr="00CB5449" w:rsidRDefault="00674ED8" w:rsidP="6A77EA4A">
      <w:pPr>
        <w:pStyle w:val="ListParagraph"/>
        <w:numPr>
          <w:ilvl w:val="0"/>
          <w:numId w:val="1"/>
        </w:numPr>
        <w:jc w:val="both"/>
        <w:rPr>
          <w:rFonts w:ascii="Aptos" w:hAnsi="Aptos" w:cs="Arial"/>
          <w:sz w:val="24"/>
          <w:szCs w:val="24"/>
        </w:rPr>
      </w:pPr>
      <w:r w:rsidRPr="00CB5449">
        <w:rPr>
          <w:rFonts w:ascii="Aptos" w:hAnsi="Aptos" w:cs="Arial"/>
          <w:sz w:val="24"/>
          <w:szCs w:val="24"/>
        </w:rPr>
        <w:t>Staff or students who are expectant mothers</w:t>
      </w:r>
    </w:p>
    <w:p w14:paraId="1118921C" w14:textId="77777777" w:rsidR="00674ED8" w:rsidRPr="00CB5449" w:rsidRDefault="00674ED8" w:rsidP="00D47355">
      <w:pPr>
        <w:jc w:val="both"/>
        <w:rPr>
          <w:rFonts w:ascii="Aptos" w:hAnsi="Aptos" w:cs="Arial"/>
          <w:b/>
          <w:sz w:val="24"/>
          <w:szCs w:val="24"/>
        </w:rPr>
      </w:pPr>
      <w:r w:rsidRPr="00CB5449">
        <w:rPr>
          <w:rFonts w:ascii="Aptos" w:hAnsi="Aptos" w:cs="Arial"/>
          <w:b/>
          <w:sz w:val="24"/>
          <w:szCs w:val="24"/>
        </w:rPr>
        <w:t>Review</w:t>
      </w:r>
    </w:p>
    <w:p w14:paraId="256D8F15" w14:textId="11950D5C" w:rsidR="00D47355" w:rsidRPr="00CB5449" w:rsidRDefault="00D47355" w:rsidP="00D47355">
      <w:pPr>
        <w:jc w:val="both"/>
        <w:rPr>
          <w:rFonts w:ascii="Aptos" w:hAnsi="Aptos" w:cs="Arial"/>
          <w:sz w:val="24"/>
          <w:szCs w:val="24"/>
        </w:rPr>
      </w:pPr>
      <w:r w:rsidRPr="00CB5449">
        <w:rPr>
          <w:rFonts w:ascii="Aptos" w:hAnsi="Aptos" w:cs="Arial"/>
          <w:sz w:val="24"/>
          <w:szCs w:val="24"/>
        </w:rPr>
        <w:t>Risk assessments will be reviewed at least annually and following any changes to the ac</w:t>
      </w:r>
      <w:r w:rsidR="00E67997" w:rsidRPr="00CB5449">
        <w:rPr>
          <w:rFonts w:ascii="Aptos" w:hAnsi="Aptos" w:cs="Arial"/>
          <w:sz w:val="24"/>
          <w:szCs w:val="24"/>
        </w:rPr>
        <w:t xml:space="preserve">tivity, </w:t>
      </w:r>
      <w:r w:rsidRPr="00CB5449">
        <w:rPr>
          <w:rFonts w:ascii="Aptos" w:hAnsi="Aptos" w:cs="Arial"/>
          <w:sz w:val="24"/>
          <w:szCs w:val="24"/>
        </w:rPr>
        <w:t xml:space="preserve">environment </w:t>
      </w:r>
      <w:r w:rsidR="00E67997" w:rsidRPr="00CB5449">
        <w:rPr>
          <w:rFonts w:ascii="Aptos" w:hAnsi="Aptos" w:cs="Arial"/>
          <w:sz w:val="24"/>
          <w:szCs w:val="24"/>
        </w:rPr>
        <w:t xml:space="preserve">or circumstances, </w:t>
      </w:r>
      <w:r w:rsidRPr="00CB5449">
        <w:rPr>
          <w:rFonts w:ascii="Aptos" w:hAnsi="Aptos" w:cs="Arial"/>
          <w:sz w:val="24"/>
          <w:szCs w:val="24"/>
        </w:rPr>
        <w:t>by th</w:t>
      </w:r>
      <w:r w:rsidR="00674ED8" w:rsidRPr="00CB5449">
        <w:rPr>
          <w:rFonts w:ascii="Aptos" w:hAnsi="Aptos" w:cs="Arial"/>
          <w:sz w:val="24"/>
          <w:szCs w:val="24"/>
        </w:rPr>
        <w:t xml:space="preserve">e </w:t>
      </w:r>
      <w:r w:rsidRPr="00CB5449">
        <w:rPr>
          <w:rFonts w:ascii="Aptos" w:hAnsi="Aptos" w:cs="Arial"/>
          <w:sz w:val="24"/>
          <w:szCs w:val="24"/>
        </w:rPr>
        <w:t xml:space="preserve">H&amp;S co-ordinator at a local level </w:t>
      </w:r>
      <w:r w:rsidR="29579980" w:rsidRPr="00CB5449">
        <w:rPr>
          <w:rFonts w:ascii="Aptos" w:hAnsi="Aptos" w:cs="Arial"/>
          <w:sz w:val="24"/>
          <w:szCs w:val="24"/>
        </w:rPr>
        <w:t>or Head</w:t>
      </w:r>
      <w:r w:rsidR="008C0988" w:rsidRPr="00CB5449">
        <w:rPr>
          <w:rFonts w:ascii="Aptos" w:hAnsi="Aptos" w:cs="Arial"/>
          <w:sz w:val="24"/>
          <w:szCs w:val="24"/>
        </w:rPr>
        <w:t>teacher</w:t>
      </w:r>
      <w:r w:rsidRPr="00CB5449">
        <w:rPr>
          <w:rFonts w:ascii="Aptos" w:hAnsi="Aptos" w:cs="Arial"/>
          <w:sz w:val="24"/>
          <w:szCs w:val="24"/>
        </w:rPr>
        <w:t xml:space="preserve">. </w:t>
      </w:r>
    </w:p>
    <w:p w14:paraId="41C8F396" w14:textId="77777777" w:rsidR="00D47355" w:rsidRPr="00CB5449" w:rsidRDefault="00D47355" w:rsidP="00D47355">
      <w:pPr>
        <w:rPr>
          <w:rFonts w:ascii="Aptos" w:hAnsi="Aptos" w:cs="Arial"/>
          <w:sz w:val="24"/>
          <w:szCs w:val="24"/>
        </w:rPr>
      </w:pPr>
    </w:p>
    <w:sectPr w:rsidR="00D47355" w:rsidRPr="00CB5449" w:rsidSect="00893297">
      <w:headerReference w:type="default" r:id="rId10"/>
      <w:footerReference w:type="default" r:id="rId11"/>
      <w:pgSz w:w="11906" w:h="16838"/>
      <w:pgMar w:top="720" w:right="707"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E6BA7" w14:textId="77777777" w:rsidR="00792023" w:rsidRDefault="00792023" w:rsidP="00D47355">
      <w:pPr>
        <w:spacing w:after="0" w:line="240" w:lineRule="auto"/>
      </w:pPr>
      <w:r>
        <w:separator/>
      </w:r>
    </w:p>
  </w:endnote>
  <w:endnote w:type="continuationSeparator" w:id="0">
    <w:p w14:paraId="20891279" w14:textId="77777777" w:rsidR="00792023" w:rsidRDefault="00792023" w:rsidP="00D47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Std">
    <w:altName w:val="Gill Sans MT"/>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2122444820"/>
      <w:docPartObj>
        <w:docPartGallery w:val="Page Numbers (Bottom of Page)"/>
        <w:docPartUnique/>
      </w:docPartObj>
    </w:sdtPr>
    <w:sdtEndPr>
      <w:rPr>
        <w:noProof/>
      </w:rPr>
    </w:sdtEndPr>
    <w:sdtContent>
      <w:p w14:paraId="5545E6AE" w14:textId="77777777" w:rsidR="00D47355" w:rsidRPr="00D47355" w:rsidRDefault="00D47355" w:rsidP="00D47355">
        <w:pPr>
          <w:pStyle w:val="Footer"/>
          <w:jc w:val="right"/>
          <w:rPr>
            <w:rFonts w:ascii="Arial" w:hAnsi="Arial" w:cs="Arial"/>
            <w:sz w:val="16"/>
            <w:szCs w:val="16"/>
          </w:rPr>
        </w:pPr>
        <w:r w:rsidRPr="00D47355">
          <w:rPr>
            <w:rFonts w:ascii="Arial" w:hAnsi="Arial" w:cs="Arial"/>
            <w:sz w:val="16"/>
            <w:szCs w:val="16"/>
          </w:rPr>
          <w:t xml:space="preserve">Page </w:t>
        </w:r>
        <w:r w:rsidRPr="00D47355">
          <w:rPr>
            <w:rFonts w:ascii="Arial" w:hAnsi="Arial" w:cs="Arial"/>
            <w:b/>
            <w:sz w:val="16"/>
            <w:szCs w:val="16"/>
          </w:rPr>
          <w:fldChar w:fldCharType="begin"/>
        </w:r>
        <w:r w:rsidRPr="00D47355">
          <w:rPr>
            <w:rFonts w:ascii="Arial" w:hAnsi="Arial" w:cs="Arial"/>
            <w:b/>
            <w:sz w:val="16"/>
            <w:szCs w:val="16"/>
          </w:rPr>
          <w:instrText xml:space="preserve"> PAGE   \* MERGEFORMAT </w:instrText>
        </w:r>
        <w:r w:rsidRPr="00D47355">
          <w:rPr>
            <w:rFonts w:ascii="Arial" w:hAnsi="Arial" w:cs="Arial"/>
            <w:b/>
            <w:sz w:val="16"/>
            <w:szCs w:val="16"/>
          </w:rPr>
          <w:fldChar w:fldCharType="separate"/>
        </w:r>
        <w:r w:rsidR="00AD717A">
          <w:rPr>
            <w:rFonts w:ascii="Arial" w:hAnsi="Arial" w:cs="Arial"/>
            <w:b/>
            <w:noProof/>
            <w:sz w:val="16"/>
            <w:szCs w:val="16"/>
          </w:rPr>
          <w:t>1</w:t>
        </w:r>
        <w:r w:rsidRPr="00D47355">
          <w:rPr>
            <w:rFonts w:ascii="Arial" w:hAnsi="Arial" w:cs="Arial"/>
            <w:b/>
            <w:noProof/>
            <w:sz w:val="16"/>
            <w:szCs w:val="16"/>
          </w:rPr>
          <w:fldChar w:fldCharType="end"/>
        </w:r>
        <w:r w:rsidRPr="00D47355">
          <w:rPr>
            <w:rFonts w:ascii="Arial" w:hAnsi="Arial" w:cs="Arial"/>
            <w:noProof/>
            <w:sz w:val="16"/>
            <w:szCs w:val="16"/>
          </w:rPr>
          <w:t xml:space="preserve"> of</w:t>
        </w:r>
        <w:r w:rsidR="004A1E7C">
          <w:rPr>
            <w:rFonts w:ascii="Arial" w:hAnsi="Arial" w:cs="Arial"/>
            <w:b/>
            <w:noProof/>
            <w:sz w:val="16"/>
            <w:szCs w:val="16"/>
          </w:rPr>
          <w:t xml:space="preserve"> 2</w:t>
        </w:r>
      </w:p>
    </w:sdtContent>
  </w:sdt>
  <w:p w14:paraId="45FB0818" w14:textId="77777777" w:rsidR="00D47355" w:rsidRPr="00D47355" w:rsidRDefault="00D4735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3055E" w14:textId="77777777" w:rsidR="00792023" w:rsidRDefault="00792023" w:rsidP="00D47355">
      <w:pPr>
        <w:spacing w:after="0" w:line="240" w:lineRule="auto"/>
      </w:pPr>
      <w:r>
        <w:separator/>
      </w:r>
    </w:p>
  </w:footnote>
  <w:footnote w:type="continuationSeparator" w:id="0">
    <w:p w14:paraId="27ADE108" w14:textId="77777777" w:rsidR="00792023" w:rsidRDefault="00792023" w:rsidP="00D47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3D3EC" w14:textId="57D83DAD" w:rsidR="00D47355" w:rsidRDefault="00D47355">
    <w:pPr>
      <w:pStyle w:val="Header"/>
    </w:pPr>
  </w:p>
  <w:p w14:paraId="71166699" w14:textId="77777777" w:rsidR="00AD717A" w:rsidRDefault="68DBD391" w:rsidP="00AD717A">
    <w:pPr>
      <w:pStyle w:val="Header"/>
      <w:jc w:val="right"/>
      <w:rPr>
        <w:sz w:val="16"/>
        <w:szCs w:val="16"/>
      </w:rPr>
    </w:pPr>
    <w:r w:rsidRPr="68DBD391">
      <w:rPr>
        <w:sz w:val="16"/>
        <w:szCs w:val="16"/>
      </w:rPr>
      <w:t xml:space="preserve"> </w:t>
    </w:r>
  </w:p>
  <w:p w14:paraId="37E2FB71" w14:textId="77777777" w:rsidR="00AD717A" w:rsidRDefault="00AD717A" w:rsidP="00AD717A">
    <w:pPr>
      <w:pStyle w:val="Header"/>
      <w:jc w:val="right"/>
      <w:rPr>
        <w:sz w:val="16"/>
        <w:szCs w:val="16"/>
      </w:rPr>
    </w:pPr>
  </w:p>
  <w:p w14:paraId="19D4FDF6" w14:textId="77777777" w:rsidR="00AD717A" w:rsidRDefault="00AD717A" w:rsidP="00AD717A">
    <w:pPr>
      <w:pStyle w:val="Header"/>
      <w:jc w:val="right"/>
      <w:rPr>
        <w:rFonts w:ascii="Arial" w:hAnsi="Arial" w:cs="Arial"/>
        <w:sz w:val="18"/>
        <w:szCs w:val="18"/>
      </w:rPr>
    </w:pPr>
  </w:p>
  <w:p w14:paraId="1B1F8D07" w14:textId="77777777" w:rsidR="00AD717A" w:rsidRPr="00893297" w:rsidRDefault="00AD717A" w:rsidP="00AD717A">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74FD5"/>
    <w:multiLevelType w:val="hybridMultilevel"/>
    <w:tmpl w:val="C8D8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172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55"/>
    <w:rsid w:val="000E1FCB"/>
    <w:rsid w:val="00140240"/>
    <w:rsid w:val="0017186E"/>
    <w:rsid w:val="001E4A7E"/>
    <w:rsid w:val="001F34CB"/>
    <w:rsid w:val="00246DBA"/>
    <w:rsid w:val="00253A71"/>
    <w:rsid w:val="0025683D"/>
    <w:rsid w:val="003601C2"/>
    <w:rsid w:val="00385BCE"/>
    <w:rsid w:val="003A1F7F"/>
    <w:rsid w:val="0040229B"/>
    <w:rsid w:val="00424853"/>
    <w:rsid w:val="004A1E7C"/>
    <w:rsid w:val="004A3B1E"/>
    <w:rsid w:val="005F6B25"/>
    <w:rsid w:val="00622C3C"/>
    <w:rsid w:val="0063167D"/>
    <w:rsid w:val="006461CC"/>
    <w:rsid w:val="00674ED8"/>
    <w:rsid w:val="0068763C"/>
    <w:rsid w:val="006E3204"/>
    <w:rsid w:val="00714FD9"/>
    <w:rsid w:val="00715079"/>
    <w:rsid w:val="0071666C"/>
    <w:rsid w:val="00792023"/>
    <w:rsid w:val="00807375"/>
    <w:rsid w:val="0085291B"/>
    <w:rsid w:val="00880567"/>
    <w:rsid w:val="00885B76"/>
    <w:rsid w:val="00893297"/>
    <w:rsid w:val="008C0988"/>
    <w:rsid w:val="00A437D4"/>
    <w:rsid w:val="00AA299A"/>
    <w:rsid w:val="00AD717A"/>
    <w:rsid w:val="00B12B67"/>
    <w:rsid w:val="00B74A52"/>
    <w:rsid w:val="00C46502"/>
    <w:rsid w:val="00CB5449"/>
    <w:rsid w:val="00D47355"/>
    <w:rsid w:val="00D95461"/>
    <w:rsid w:val="00E67997"/>
    <w:rsid w:val="00EC2B1F"/>
    <w:rsid w:val="00F40620"/>
    <w:rsid w:val="00F42CB8"/>
    <w:rsid w:val="03A4886D"/>
    <w:rsid w:val="08F0E7D5"/>
    <w:rsid w:val="0D017479"/>
    <w:rsid w:val="0FA29348"/>
    <w:rsid w:val="16A3D4ED"/>
    <w:rsid w:val="18566205"/>
    <w:rsid w:val="19CFE0A9"/>
    <w:rsid w:val="1CAA7981"/>
    <w:rsid w:val="2057268B"/>
    <w:rsid w:val="25F33441"/>
    <w:rsid w:val="28FBA5F7"/>
    <w:rsid w:val="29579980"/>
    <w:rsid w:val="377B71C3"/>
    <w:rsid w:val="3CA1F2B3"/>
    <w:rsid w:val="3DC6B5B2"/>
    <w:rsid w:val="3ED662E7"/>
    <w:rsid w:val="4273241B"/>
    <w:rsid w:val="47195D48"/>
    <w:rsid w:val="4AE24999"/>
    <w:rsid w:val="5BFFFE4C"/>
    <w:rsid w:val="5E2122FB"/>
    <w:rsid w:val="5E71EEB0"/>
    <w:rsid w:val="5E9AA061"/>
    <w:rsid w:val="5EAD3EE3"/>
    <w:rsid w:val="61DBA898"/>
    <w:rsid w:val="6215093E"/>
    <w:rsid w:val="68DBD391"/>
    <w:rsid w:val="6A77EA4A"/>
    <w:rsid w:val="70C0806C"/>
    <w:rsid w:val="729B3AFE"/>
    <w:rsid w:val="72C7D61F"/>
    <w:rsid w:val="741D8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89373D"/>
  <w15:docId w15:val="{91F2869C-2270-4E2A-8DDE-6D0BA7A7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Std" w:eastAsiaTheme="minorHAnsi" w:hAnsi="Gill Sans Std"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7355"/>
    <w:pPr>
      <w:tabs>
        <w:tab w:val="center" w:pos="4513"/>
        <w:tab w:val="right" w:pos="9026"/>
      </w:tabs>
      <w:spacing w:after="0" w:line="240" w:lineRule="auto"/>
    </w:pPr>
  </w:style>
  <w:style w:type="character" w:customStyle="1" w:styleId="HeaderChar">
    <w:name w:val="Header Char"/>
    <w:basedOn w:val="DefaultParagraphFont"/>
    <w:link w:val="Header"/>
    <w:rsid w:val="00D47355"/>
  </w:style>
  <w:style w:type="paragraph" w:styleId="Footer">
    <w:name w:val="footer"/>
    <w:basedOn w:val="Normal"/>
    <w:link w:val="FooterChar"/>
    <w:uiPriority w:val="99"/>
    <w:unhideWhenUsed/>
    <w:rsid w:val="00D47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355"/>
  </w:style>
  <w:style w:type="paragraph" w:styleId="BalloonText">
    <w:name w:val="Balloon Text"/>
    <w:basedOn w:val="Normal"/>
    <w:link w:val="BalloonTextChar"/>
    <w:uiPriority w:val="99"/>
    <w:semiHidden/>
    <w:unhideWhenUsed/>
    <w:rsid w:val="00D47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355"/>
    <w:rPr>
      <w:rFonts w:ascii="Tahoma" w:hAnsi="Tahoma" w:cs="Tahoma"/>
      <w:sz w:val="16"/>
      <w:szCs w:val="16"/>
    </w:rPr>
  </w:style>
  <w:style w:type="paragraph" w:styleId="ListParagraph">
    <w:name w:val="List Paragraph"/>
    <w:basedOn w:val="Normal"/>
    <w:uiPriority w:val="34"/>
    <w:qFormat/>
    <w:rsid w:val="00674ED8"/>
    <w:pPr>
      <w:ind w:left="720"/>
      <w:contextualSpacing/>
    </w:pPr>
  </w:style>
  <w:style w:type="paragraph" w:customStyle="1" w:styleId="TableParagraph">
    <w:name w:val="Table Paragraph"/>
    <w:basedOn w:val="Normal"/>
    <w:uiPriority w:val="1"/>
    <w:qFormat/>
    <w:rsid w:val="00714FD9"/>
    <w:pPr>
      <w:widowControl w:val="0"/>
      <w:autoSpaceDE w:val="0"/>
      <w:autoSpaceDN w:val="0"/>
      <w:spacing w:after="0" w:line="240" w:lineRule="auto"/>
      <w:ind w:left="94"/>
    </w:pPr>
    <w:rPr>
      <w:rFonts w:ascii="Arial" w:eastAsia="Arial" w:hAnsi="Arial" w:cs="Arial"/>
      <w:lang w:val="en-US"/>
    </w:rPr>
  </w:style>
  <w:style w:type="table" w:styleId="TableGrid">
    <w:name w:val="Table Grid"/>
    <w:basedOn w:val="TableNormal"/>
    <w:uiPriority w:val="59"/>
    <w:rsid w:val="00622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652C16AF8F534AAFB35738CFC977DE" ma:contentTypeVersion="15" ma:contentTypeDescription="Create a new document." ma:contentTypeScope="" ma:versionID="ec21081534067f06cabd1b30ccda12f3">
  <xsd:schema xmlns:xsd="http://www.w3.org/2001/XMLSchema" xmlns:xs="http://www.w3.org/2001/XMLSchema" xmlns:p="http://schemas.microsoft.com/office/2006/metadata/properties" xmlns:ns2="35e90ff9-d759-4358-a994-12ebea23dc84" xmlns:ns3="c09d318b-e12c-4368-9f3f-8febe1aa3342" targetNamespace="http://schemas.microsoft.com/office/2006/metadata/properties" ma:root="true" ma:fieldsID="949878d7a19064826b9e544c4809e281" ns2:_="" ns3:_="">
    <xsd:import namespace="35e90ff9-d759-4358-a994-12ebea23dc84"/>
    <xsd:import namespace="c09d318b-e12c-4368-9f3f-8febe1aa3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ff9-d759-4358-a994-12ebea23d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4e45b-d54c-40c1-b5e8-b04077ab4b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d318b-e12c-4368-9f3f-8febe1aa33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ac98ce-e0f8-4f66-9ad6-b67171715541}" ma:internalName="TaxCatchAll" ma:showField="CatchAllData" ma:web="c09d318b-e12c-4368-9f3f-8febe1aa3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e90ff9-d759-4358-a994-12ebea23dc84">
      <Terms xmlns="http://schemas.microsoft.com/office/infopath/2007/PartnerControls"/>
    </lcf76f155ced4ddcb4097134ff3c332f>
    <TaxCatchAll xmlns="c09d318b-e12c-4368-9f3f-8febe1aa33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B24AA-93F5-4C6D-9637-29A035D0DF35}"/>
</file>

<file path=customXml/itemProps2.xml><?xml version="1.0" encoding="utf-8"?>
<ds:datastoreItem xmlns:ds="http://schemas.openxmlformats.org/officeDocument/2006/customXml" ds:itemID="{8658577F-21C7-427A-BF67-4F18F5E9222B}">
  <ds:schemaRefs>
    <ds:schemaRef ds:uri="http://schemas.microsoft.com/office/2006/metadata/properties"/>
    <ds:schemaRef ds:uri="http://schemas.microsoft.com/office/infopath/2007/PartnerControls"/>
    <ds:schemaRef ds:uri="9356f71a-bcca-4ab0-98fd-58c2d8eba360"/>
    <ds:schemaRef ds:uri="1f085f96-7a8f-46b9-bf51-b292b125d50f"/>
  </ds:schemaRefs>
</ds:datastoreItem>
</file>

<file path=customXml/itemProps3.xml><?xml version="1.0" encoding="utf-8"?>
<ds:datastoreItem xmlns:ds="http://schemas.openxmlformats.org/officeDocument/2006/customXml" ds:itemID="{1CBC14E7-B69E-46C2-A82E-A7CCD398FC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2491</Characters>
  <Application>Microsoft Office Word</Application>
  <DocSecurity>0</DocSecurity>
  <Lines>20</Lines>
  <Paragraphs>5</Paragraphs>
  <ScaleCrop>false</ScaleCrop>
  <Company>Microsoft</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Viner</dc:creator>
  <cp:lastModifiedBy>Vicky Simpson</cp:lastModifiedBy>
  <cp:revision>7</cp:revision>
  <dcterms:created xsi:type="dcterms:W3CDTF">2024-11-19T16:00:00Z</dcterms:created>
  <dcterms:modified xsi:type="dcterms:W3CDTF">2024-11-19T19:53:00Z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0x01010079652C16AF8F534AAFB35738CFC977DE</vt:lpwstr>
  </property>
  <property fmtid="{D5CDD505-2E9C-101B-9397-08002B2CF9AE}" pid="3" name="Order">
    <vt:r8>2747800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